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455" w:rsidRPr="001A1455" w:rsidRDefault="007A327B" w:rsidP="007A327B">
      <w:pPr>
        <w:ind w:left="142" w:right="97" w:firstLine="263"/>
        <w:contextualSpacing/>
        <w:jc w:val="center"/>
        <w:rPr>
          <w:b/>
          <w:sz w:val="22"/>
          <w:szCs w:val="22"/>
        </w:rPr>
      </w:pPr>
      <w:r w:rsidRPr="001A1455">
        <w:rPr>
          <w:b/>
          <w:sz w:val="22"/>
          <w:szCs w:val="22"/>
        </w:rPr>
        <w:t>ПЕРЕЛІК</w:t>
      </w:r>
      <w:r w:rsidR="001A1455" w:rsidRPr="001A1455">
        <w:rPr>
          <w:b/>
          <w:sz w:val="22"/>
          <w:szCs w:val="22"/>
        </w:rPr>
        <w:t xml:space="preserve"> ДОКУМЕНТІВ, ЯКІ УЧАСНИК ПОВИНЕН ПО</w:t>
      </w:r>
      <w:r w:rsidRPr="001A1455">
        <w:rPr>
          <w:b/>
          <w:sz w:val="22"/>
          <w:szCs w:val="22"/>
        </w:rPr>
        <w:t xml:space="preserve">ДАТИ </w:t>
      </w:r>
    </w:p>
    <w:p w:rsidR="001A1455" w:rsidRDefault="007A327B" w:rsidP="007A327B">
      <w:pPr>
        <w:ind w:left="142" w:right="97" w:firstLine="263"/>
        <w:contextualSpacing/>
        <w:jc w:val="center"/>
        <w:rPr>
          <w:sz w:val="22"/>
          <w:szCs w:val="22"/>
        </w:rPr>
      </w:pPr>
      <w:r>
        <w:rPr>
          <w:sz w:val="22"/>
          <w:szCs w:val="22"/>
        </w:rPr>
        <w:t xml:space="preserve">У СКЛАДІ ТЕНДЕРНОЇ ПРОПОЗИЦІЇ </w:t>
      </w:r>
    </w:p>
    <w:p w:rsidR="007A327B" w:rsidRDefault="007A327B" w:rsidP="007A327B">
      <w:pPr>
        <w:ind w:left="142" w:right="97" w:firstLine="263"/>
        <w:contextualSpacing/>
        <w:jc w:val="center"/>
        <w:rPr>
          <w:sz w:val="22"/>
          <w:szCs w:val="22"/>
        </w:rPr>
      </w:pPr>
      <w:r>
        <w:rPr>
          <w:sz w:val="22"/>
          <w:szCs w:val="22"/>
        </w:rPr>
        <w:t>на закупівлю:</w:t>
      </w:r>
    </w:p>
    <w:p w:rsidR="007A327B" w:rsidRDefault="007A327B" w:rsidP="007A327B">
      <w:pPr>
        <w:ind w:left="142" w:right="97" w:firstLine="263"/>
        <w:contextualSpacing/>
        <w:jc w:val="center"/>
        <w:rPr>
          <w:sz w:val="22"/>
          <w:szCs w:val="22"/>
        </w:rPr>
      </w:pPr>
    </w:p>
    <w:p w:rsidR="002E4CC8" w:rsidRPr="002E4CC8" w:rsidRDefault="002E4CC8" w:rsidP="002E4CC8">
      <w:pPr>
        <w:rPr>
          <w:b/>
        </w:rPr>
      </w:pPr>
      <w:r w:rsidRPr="002E4CC8">
        <w:rPr>
          <w:spacing w:val="-7"/>
          <w:lang w:val="ru-RU"/>
        </w:rPr>
        <w:t xml:space="preserve">      </w:t>
      </w:r>
      <w:proofErr w:type="spellStart"/>
      <w:r w:rsidRPr="002E4CC8">
        <w:rPr>
          <w:b/>
        </w:rPr>
        <w:t>ДК</w:t>
      </w:r>
      <w:proofErr w:type="spellEnd"/>
      <w:r w:rsidRPr="002E4CC8">
        <w:rPr>
          <w:b/>
        </w:rPr>
        <w:t xml:space="preserve"> 021:2015</w:t>
      </w:r>
      <w:r w:rsidRPr="002E4CC8">
        <w:rPr>
          <w:lang w:val="ru-RU"/>
        </w:rPr>
        <w:t xml:space="preserve"> </w:t>
      </w:r>
      <w:r w:rsidRPr="002E4CC8">
        <w:rPr>
          <w:b/>
          <w:spacing w:val="-7"/>
        </w:rPr>
        <w:t xml:space="preserve">71630000-3 </w:t>
      </w:r>
      <w:r w:rsidRPr="002E4CC8">
        <w:rPr>
          <w:b/>
        </w:rPr>
        <w:t xml:space="preserve">Послуги з технічного огляду та випробовувань </w:t>
      </w:r>
    </w:p>
    <w:p w:rsidR="002E4CC8" w:rsidRPr="002E4CC8" w:rsidRDefault="002E4CC8" w:rsidP="002E4CC8">
      <w:pPr>
        <w:jc w:val="center"/>
        <w:rPr>
          <w:b/>
          <w:color w:val="FF0000"/>
        </w:rPr>
      </w:pPr>
      <w:r w:rsidRPr="002E4CC8">
        <w:rPr>
          <w:b/>
          <w:lang w:val="ru-RU"/>
        </w:rPr>
        <w:t xml:space="preserve">   </w:t>
      </w:r>
      <w:r w:rsidRPr="002E4CC8">
        <w:rPr>
          <w:b/>
        </w:rPr>
        <w:t>(Послуги з проведення технічних оглядів та експертного обстеження обладнання)</w:t>
      </w:r>
    </w:p>
    <w:p w:rsidR="007A327B" w:rsidRDefault="007A327B" w:rsidP="007A327B">
      <w:pPr>
        <w:ind w:left="142" w:right="97" w:firstLine="263"/>
        <w:contextualSpacing/>
        <w:rPr>
          <w:sz w:val="22"/>
          <w:szCs w:val="22"/>
          <w:lang w:eastAsia="ru-RU"/>
        </w:rPr>
      </w:pPr>
    </w:p>
    <w:p w:rsidR="007A327B" w:rsidRPr="00E9274F" w:rsidRDefault="007A327B" w:rsidP="007A327B">
      <w:pPr>
        <w:ind w:left="142" w:right="97" w:firstLine="263"/>
        <w:contextualSpacing/>
        <w:rPr>
          <w:sz w:val="22"/>
          <w:szCs w:val="22"/>
          <w:lang w:eastAsia="ru-RU"/>
        </w:rPr>
      </w:pPr>
      <w:r w:rsidRPr="00E9274F">
        <w:rPr>
          <w:sz w:val="22"/>
          <w:szCs w:val="22"/>
          <w:lang w:eastAsia="ru-RU"/>
        </w:rPr>
        <w:t>Тендерна пропозиція подається в електронному вигляді.</w:t>
      </w:r>
    </w:p>
    <w:p w:rsidR="007A327B" w:rsidRPr="009721D0" w:rsidRDefault="007A327B" w:rsidP="007A327B">
      <w:pPr>
        <w:ind w:left="142" w:right="97" w:firstLine="263"/>
        <w:contextualSpacing/>
        <w:rPr>
          <w:color w:val="000000"/>
          <w:sz w:val="22"/>
          <w:szCs w:val="22"/>
          <w:lang w:eastAsia="ru-RU"/>
        </w:rPr>
      </w:pPr>
      <w:r w:rsidRPr="004F4849">
        <w:rPr>
          <w:color w:val="000000"/>
          <w:sz w:val="22"/>
          <w:szCs w:val="22"/>
          <w:lang w:eastAsia="ru-RU"/>
        </w:rPr>
        <w:t>Документ з тендерною пропозицією подається в електронному вигляді шляхом заповнення електронних форм з окремими полями, в яких зазначається інформація про ціну, інші критерії оцінки (у разі їх встановлення Замовником) та завантаження файлів з:</w:t>
      </w:r>
    </w:p>
    <w:p w:rsidR="003875E7" w:rsidRPr="009721D0" w:rsidRDefault="003875E7" w:rsidP="007A327B">
      <w:pPr>
        <w:ind w:left="142" w:right="97" w:firstLine="263"/>
        <w:contextualSpacing/>
        <w:rPr>
          <w:color w:val="000000"/>
          <w:sz w:val="22"/>
          <w:szCs w:val="22"/>
          <w:lang w:eastAsia="ru-RU"/>
        </w:rPr>
      </w:pPr>
    </w:p>
    <w:p w:rsidR="003875E7" w:rsidRPr="009721D0" w:rsidRDefault="003875E7" w:rsidP="009721D0">
      <w:pPr>
        <w:pStyle w:val="a3"/>
        <w:widowControl w:val="0"/>
        <w:numPr>
          <w:ilvl w:val="0"/>
          <w:numId w:val="2"/>
        </w:numPr>
        <w:spacing w:line="276" w:lineRule="auto"/>
        <w:ind w:right="97"/>
        <w:rPr>
          <w:color w:val="000000"/>
          <w:sz w:val="22"/>
          <w:szCs w:val="22"/>
          <w:lang w:eastAsia="ru-RU"/>
        </w:rPr>
      </w:pPr>
      <w:r w:rsidRPr="009721D0">
        <w:rPr>
          <w:color w:val="000000"/>
          <w:sz w:val="22"/>
          <w:szCs w:val="22"/>
          <w:lang w:eastAsia="ru-RU"/>
        </w:rPr>
        <w:t>тендерна (цінова) пропозиція згідно з Додатком 1;</w:t>
      </w:r>
    </w:p>
    <w:p w:rsidR="003875E7" w:rsidRPr="00B91930" w:rsidRDefault="003875E7" w:rsidP="009721D0">
      <w:pPr>
        <w:widowControl w:val="0"/>
        <w:numPr>
          <w:ilvl w:val="0"/>
          <w:numId w:val="2"/>
        </w:numPr>
        <w:tabs>
          <w:tab w:val="left" w:pos="405"/>
        </w:tabs>
        <w:spacing w:line="276" w:lineRule="auto"/>
        <w:ind w:right="96"/>
        <w:contextualSpacing/>
        <w:rPr>
          <w:bCs/>
          <w:sz w:val="22"/>
          <w:szCs w:val="22"/>
        </w:rPr>
      </w:pPr>
      <w:r w:rsidRPr="00B91930">
        <w:rPr>
          <w:color w:val="000000"/>
          <w:sz w:val="22"/>
          <w:szCs w:val="22"/>
          <w:lang w:eastAsia="ru-RU"/>
        </w:rPr>
        <w:t>тендерна (технічна) пропозиція згідно з Додатком 2;</w:t>
      </w:r>
    </w:p>
    <w:p w:rsidR="003875E7" w:rsidRPr="00B91930" w:rsidRDefault="003875E7" w:rsidP="009721D0">
      <w:pPr>
        <w:widowControl w:val="0"/>
        <w:numPr>
          <w:ilvl w:val="0"/>
          <w:numId w:val="2"/>
        </w:numPr>
        <w:tabs>
          <w:tab w:val="left" w:pos="405"/>
        </w:tabs>
        <w:spacing w:line="276" w:lineRule="auto"/>
        <w:ind w:right="96"/>
        <w:contextualSpacing/>
        <w:rPr>
          <w:bCs/>
          <w:sz w:val="22"/>
          <w:szCs w:val="22"/>
        </w:rPr>
      </w:pPr>
      <w:r w:rsidRPr="00B91930">
        <w:rPr>
          <w:sz w:val="22"/>
          <w:szCs w:val="22"/>
        </w:rPr>
        <w:t xml:space="preserve">копію атестату про акредитацію, виданого Національним агентством з акредитації України, який підтверджує компетенцію Учасника щодо провадження інспекційної діяльності, </w:t>
      </w:r>
      <w:r w:rsidRPr="00B91930">
        <w:rPr>
          <w:sz w:val="22"/>
          <w:szCs w:val="22"/>
          <w:shd w:val="clear" w:color="auto" w:fill="FFFFFF"/>
        </w:rPr>
        <w:t xml:space="preserve">як третя сторона, відповідно до пунктів 6-7 </w:t>
      </w:r>
      <w:r w:rsidRPr="00B91930">
        <w:rPr>
          <w:sz w:val="22"/>
          <w:szCs w:val="22"/>
          <w:lang w:eastAsia="ru-RU"/>
        </w:rPr>
        <w:t>Наказу Міністерства економіки України № 17954 від 27.11.2023;</w:t>
      </w:r>
      <w:r w:rsidRPr="00B91930">
        <w:rPr>
          <w:bCs/>
          <w:sz w:val="22"/>
          <w:szCs w:val="22"/>
        </w:rPr>
        <w:t xml:space="preserve"> </w:t>
      </w:r>
    </w:p>
    <w:p w:rsidR="003875E7" w:rsidRPr="003875E7" w:rsidRDefault="003875E7" w:rsidP="009721D0">
      <w:pPr>
        <w:pStyle w:val="a3"/>
        <w:numPr>
          <w:ilvl w:val="0"/>
          <w:numId w:val="2"/>
        </w:numPr>
        <w:tabs>
          <w:tab w:val="left" w:pos="1276"/>
        </w:tabs>
        <w:spacing w:line="276" w:lineRule="auto"/>
        <w:ind w:right="220"/>
        <w:rPr>
          <w:sz w:val="22"/>
          <w:szCs w:val="22"/>
        </w:rPr>
      </w:pPr>
      <w:r w:rsidRPr="003875E7">
        <w:rPr>
          <w:sz w:val="22"/>
          <w:szCs w:val="22"/>
        </w:rPr>
        <w:t>копію д</w:t>
      </w:r>
      <w:r w:rsidRPr="003875E7">
        <w:rPr>
          <w:sz w:val="22"/>
          <w:szCs w:val="22"/>
          <w:shd w:val="clear" w:color="auto" w:fill="FFFFFF"/>
        </w:rPr>
        <w:t xml:space="preserve">озвільного документу на виконання робіт підвищеної небезпеки та на експлуатацію (застосування) машин, механізмів, </w:t>
      </w:r>
      <w:proofErr w:type="spellStart"/>
      <w:r w:rsidRPr="003875E7">
        <w:rPr>
          <w:sz w:val="22"/>
          <w:szCs w:val="22"/>
          <w:shd w:val="clear" w:color="auto" w:fill="FFFFFF"/>
        </w:rPr>
        <w:t>устатковання</w:t>
      </w:r>
      <w:proofErr w:type="spellEnd"/>
      <w:r w:rsidRPr="003875E7">
        <w:rPr>
          <w:sz w:val="22"/>
          <w:szCs w:val="22"/>
          <w:shd w:val="clear" w:color="auto" w:fill="FFFFFF"/>
        </w:rPr>
        <w:t xml:space="preserve"> підвищеної небезпеки, виданого територіальним органом </w:t>
      </w:r>
      <w:proofErr w:type="spellStart"/>
      <w:r w:rsidRPr="003875E7">
        <w:rPr>
          <w:sz w:val="22"/>
          <w:szCs w:val="22"/>
          <w:shd w:val="clear" w:color="auto" w:fill="FFFFFF"/>
        </w:rPr>
        <w:t>Держпраці</w:t>
      </w:r>
      <w:proofErr w:type="spellEnd"/>
      <w:r w:rsidRPr="003875E7">
        <w:rPr>
          <w:sz w:val="22"/>
          <w:szCs w:val="22"/>
          <w:shd w:val="clear" w:color="auto" w:fill="FFFFFF"/>
        </w:rPr>
        <w:t xml:space="preserve"> за місцем державної реєстрації юридичної особи або фізичної особи - підприємця</w:t>
      </w:r>
      <w:r w:rsidRPr="003875E7">
        <w:rPr>
          <w:sz w:val="22"/>
          <w:szCs w:val="22"/>
        </w:rPr>
        <w:t xml:space="preserve">, відповідно до </w:t>
      </w:r>
      <w:r w:rsidRPr="003875E7">
        <w:rPr>
          <w:bCs/>
          <w:sz w:val="22"/>
          <w:szCs w:val="22"/>
        </w:rPr>
        <w:t xml:space="preserve">Порядку видачі дозволів на виконання робіт підвищеної небезпеки та на експлуатацію (застосування) машин, механізмів, </w:t>
      </w:r>
      <w:proofErr w:type="spellStart"/>
      <w:r w:rsidRPr="003875E7">
        <w:rPr>
          <w:bCs/>
          <w:sz w:val="22"/>
          <w:szCs w:val="22"/>
        </w:rPr>
        <w:t>устатковання</w:t>
      </w:r>
      <w:proofErr w:type="spellEnd"/>
      <w:r w:rsidRPr="003875E7">
        <w:rPr>
          <w:bCs/>
          <w:sz w:val="22"/>
          <w:szCs w:val="22"/>
        </w:rPr>
        <w:t xml:space="preserve"> підвищеної небезпеки, затвердженого постановою Кабінету Міністрів України від 26.10.2011 № 1107 (зі змінами від 29.08.2023 № 922)</w:t>
      </w:r>
      <w:r w:rsidRPr="003875E7">
        <w:rPr>
          <w:sz w:val="22"/>
          <w:szCs w:val="22"/>
        </w:rPr>
        <w:t>;</w:t>
      </w:r>
    </w:p>
    <w:p w:rsidR="003875E7" w:rsidRPr="003875E7" w:rsidRDefault="003875E7" w:rsidP="009721D0">
      <w:pPr>
        <w:pStyle w:val="a3"/>
        <w:numPr>
          <w:ilvl w:val="0"/>
          <w:numId w:val="2"/>
        </w:numPr>
        <w:tabs>
          <w:tab w:val="left" w:pos="1276"/>
        </w:tabs>
        <w:spacing w:line="276" w:lineRule="auto"/>
        <w:ind w:right="78"/>
        <w:rPr>
          <w:sz w:val="22"/>
          <w:szCs w:val="22"/>
          <w:shd w:val="clear" w:color="auto" w:fill="FFFFFF"/>
        </w:rPr>
      </w:pPr>
      <w:r w:rsidRPr="003875E7">
        <w:rPr>
          <w:sz w:val="22"/>
          <w:szCs w:val="22"/>
          <w:shd w:val="clear" w:color="auto" w:fill="FFFFFF"/>
        </w:rPr>
        <w:t>документ про підтвердження наявності власної або залученої на підставі укладених договорів, акредитованої національним органом України з акредитації випробувальної лабораторії, яка має не менше двох фахівців не нижче другого рівня кваліфікації з кожного застосовуваного методу контролю, які мають підтверджену кваліфікацію у встановленому законодавством про охорону праці порядку та на умовах трудового договору виконують свої завдання, відповідно до пункту 9 Наказу Міністерства економіки України № 17954 від 27.11.2023;</w:t>
      </w:r>
    </w:p>
    <w:p w:rsidR="003875E7" w:rsidRPr="003875E7" w:rsidRDefault="003875E7" w:rsidP="009721D0">
      <w:pPr>
        <w:pStyle w:val="a3"/>
        <w:numPr>
          <w:ilvl w:val="0"/>
          <w:numId w:val="2"/>
        </w:numPr>
        <w:tabs>
          <w:tab w:val="left" w:pos="1276"/>
        </w:tabs>
        <w:spacing w:line="276" w:lineRule="auto"/>
        <w:ind w:right="78"/>
        <w:rPr>
          <w:sz w:val="22"/>
          <w:szCs w:val="22"/>
          <w:shd w:val="clear" w:color="auto" w:fill="FFFFFF"/>
        </w:rPr>
      </w:pPr>
      <w:r w:rsidRPr="003875E7">
        <w:rPr>
          <w:sz w:val="22"/>
          <w:szCs w:val="22"/>
          <w:shd w:val="clear" w:color="auto" w:fill="FFFFFF"/>
        </w:rPr>
        <w:t>довідку довільної форми про наявність в Учасника працівників відповідної кваліфікації або довідка за наведеною у Додатку 4 формою, а саме: експертів технічних із промислової безпеки - не менше 2-х осіб</w:t>
      </w:r>
      <w:r w:rsidR="00F27AB2" w:rsidRPr="00F27AB2">
        <w:rPr>
          <w:sz w:val="22"/>
          <w:szCs w:val="22"/>
          <w:shd w:val="clear" w:color="auto" w:fill="FFFFFF"/>
        </w:rPr>
        <w:t xml:space="preserve"> по кожному напрямку</w:t>
      </w:r>
      <w:r w:rsidRPr="003875E7">
        <w:rPr>
          <w:sz w:val="22"/>
          <w:szCs w:val="22"/>
          <w:shd w:val="clear" w:color="auto" w:fill="FFFFFF"/>
        </w:rPr>
        <w:t>;</w:t>
      </w:r>
    </w:p>
    <w:p w:rsidR="003875E7" w:rsidRPr="003875E7" w:rsidRDefault="003875E7" w:rsidP="009721D0">
      <w:pPr>
        <w:pStyle w:val="a3"/>
        <w:numPr>
          <w:ilvl w:val="0"/>
          <w:numId w:val="2"/>
        </w:numPr>
        <w:tabs>
          <w:tab w:val="left" w:pos="1276"/>
        </w:tabs>
        <w:spacing w:line="276" w:lineRule="auto"/>
        <w:ind w:right="220"/>
        <w:rPr>
          <w:sz w:val="22"/>
          <w:szCs w:val="22"/>
        </w:rPr>
      </w:pPr>
      <w:r w:rsidRPr="003875E7">
        <w:rPr>
          <w:sz w:val="22"/>
          <w:szCs w:val="22"/>
        </w:rPr>
        <w:t xml:space="preserve">копії посвідчень працівників, зазначених у довідці, які </w:t>
      </w:r>
      <w:r w:rsidRPr="003875E7">
        <w:rPr>
          <w:sz w:val="22"/>
          <w:szCs w:val="22"/>
          <w:lang w:eastAsia="ru-RU"/>
        </w:rPr>
        <w:t xml:space="preserve">підтверджують їх кваліфікацію на право проведення технічного огляду та/або експертного </w:t>
      </w:r>
      <w:r w:rsidRPr="00F27AB2">
        <w:rPr>
          <w:sz w:val="22"/>
          <w:szCs w:val="22"/>
          <w:lang w:eastAsia="ru-RU"/>
        </w:rPr>
        <w:t>обстеження</w:t>
      </w:r>
      <w:r w:rsidR="00F27AB2" w:rsidRPr="00F27AB2">
        <w:rPr>
          <w:sz w:val="22"/>
          <w:szCs w:val="22"/>
          <w:lang w:eastAsia="ru-RU"/>
        </w:rPr>
        <w:t xml:space="preserve"> обладнання підвищеної небезпеки</w:t>
      </w:r>
      <w:r w:rsidRPr="003875E7">
        <w:rPr>
          <w:sz w:val="22"/>
          <w:szCs w:val="22"/>
        </w:rPr>
        <w:t>;</w:t>
      </w:r>
    </w:p>
    <w:p w:rsidR="003875E7" w:rsidRPr="003875E7" w:rsidRDefault="003875E7" w:rsidP="009721D0">
      <w:pPr>
        <w:pStyle w:val="a3"/>
        <w:numPr>
          <w:ilvl w:val="0"/>
          <w:numId w:val="2"/>
        </w:numPr>
        <w:tabs>
          <w:tab w:val="left" w:pos="1276"/>
        </w:tabs>
        <w:spacing w:line="276" w:lineRule="auto"/>
        <w:ind w:right="220"/>
        <w:rPr>
          <w:sz w:val="22"/>
          <w:szCs w:val="22"/>
        </w:rPr>
      </w:pPr>
      <w:r w:rsidRPr="003875E7">
        <w:rPr>
          <w:bCs/>
          <w:sz w:val="22"/>
          <w:szCs w:val="22"/>
        </w:rPr>
        <w:t>документ про призначення керівника учасника (надається в усіх випадках) та документ про призначення уповноваженої ним особи</w:t>
      </w:r>
      <w:r w:rsidRPr="003875E7">
        <w:rPr>
          <w:sz w:val="22"/>
          <w:szCs w:val="22"/>
        </w:rPr>
        <w:t xml:space="preserve"> (</w:t>
      </w:r>
      <w:r w:rsidRPr="003875E7">
        <w:rPr>
          <w:bCs/>
          <w:sz w:val="22"/>
          <w:szCs w:val="22"/>
          <w:u w:val="single"/>
        </w:rPr>
        <w:t>додатково надається</w:t>
      </w:r>
      <w:r w:rsidRPr="003875E7">
        <w:rPr>
          <w:sz w:val="22"/>
          <w:szCs w:val="22"/>
        </w:rPr>
        <w:t xml:space="preserve"> у разі представництва повноважень за довіреністю), що підписує(</w:t>
      </w:r>
      <w:proofErr w:type="spellStart"/>
      <w:r w:rsidRPr="003875E7">
        <w:rPr>
          <w:sz w:val="22"/>
          <w:szCs w:val="22"/>
        </w:rPr>
        <w:t>-ють</w:t>
      </w:r>
      <w:proofErr w:type="spellEnd"/>
      <w:r w:rsidRPr="003875E7">
        <w:rPr>
          <w:sz w:val="22"/>
          <w:szCs w:val="22"/>
        </w:rPr>
        <w:t>) документи, що входять до складу тендерної пропозиції;</w:t>
      </w:r>
    </w:p>
    <w:p w:rsidR="009721D0" w:rsidRPr="009721D0" w:rsidRDefault="003875E7" w:rsidP="009721D0">
      <w:pPr>
        <w:pStyle w:val="a3"/>
        <w:widowControl w:val="0"/>
        <w:numPr>
          <w:ilvl w:val="1"/>
          <w:numId w:val="3"/>
        </w:numPr>
        <w:tabs>
          <w:tab w:val="left" w:pos="405"/>
        </w:tabs>
        <w:spacing w:line="276" w:lineRule="auto"/>
        <w:ind w:left="426" w:right="97" w:firstLine="0"/>
        <w:rPr>
          <w:color w:val="000000"/>
          <w:sz w:val="22"/>
          <w:szCs w:val="22"/>
          <w:lang w:eastAsia="ru-RU"/>
        </w:rPr>
      </w:pPr>
      <w:r w:rsidRPr="009721D0">
        <w:rPr>
          <w:rFonts w:eastAsia="Arial"/>
          <w:color w:val="000000"/>
          <w:sz w:val="22"/>
          <w:szCs w:val="22"/>
          <w:lang w:eastAsia="ru-RU"/>
        </w:rPr>
        <w:t xml:space="preserve">Витяг з ЄДР юридичних осіб та фізичних осіб-підприємців (оригінал або копія)  (з </w:t>
      </w:r>
      <w:r w:rsidR="009721D0" w:rsidRPr="009721D0">
        <w:rPr>
          <w:rFonts w:eastAsia="Arial"/>
          <w:color w:val="000000"/>
          <w:sz w:val="22"/>
          <w:szCs w:val="22"/>
          <w:lang w:eastAsia="ru-RU"/>
        </w:rPr>
        <w:t xml:space="preserve"> </w:t>
      </w:r>
    </w:p>
    <w:p w:rsidR="003875E7" w:rsidRPr="00F27AB2" w:rsidRDefault="009721D0" w:rsidP="009721D0">
      <w:pPr>
        <w:widowControl w:val="0"/>
        <w:tabs>
          <w:tab w:val="left" w:pos="405"/>
        </w:tabs>
        <w:spacing w:line="276" w:lineRule="auto"/>
        <w:ind w:left="426" w:right="97"/>
        <w:rPr>
          <w:rFonts w:eastAsia="Arial"/>
          <w:bCs/>
          <w:color w:val="000000"/>
          <w:sz w:val="22"/>
          <w:szCs w:val="22"/>
          <w:lang w:val="ru-RU" w:eastAsia="ru-RU"/>
        </w:rPr>
      </w:pPr>
      <w:r w:rsidRPr="00B006D8">
        <w:rPr>
          <w:rFonts w:eastAsia="Arial"/>
          <w:color w:val="000000"/>
          <w:sz w:val="22"/>
          <w:szCs w:val="22"/>
          <w:lang w:eastAsia="ru-RU"/>
        </w:rPr>
        <w:t xml:space="preserve">     </w:t>
      </w:r>
      <w:r w:rsidR="003875E7" w:rsidRPr="009721D0">
        <w:rPr>
          <w:rFonts w:eastAsia="Arial"/>
          <w:color w:val="000000"/>
          <w:sz w:val="22"/>
          <w:szCs w:val="22"/>
          <w:lang w:eastAsia="ru-RU"/>
        </w:rPr>
        <w:t>терміном видачі не більше 3-х місяців до дати подання тендерних пропозицій</w:t>
      </w:r>
      <w:r w:rsidR="003875E7" w:rsidRPr="009721D0">
        <w:rPr>
          <w:rFonts w:eastAsia="Arial"/>
          <w:bCs/>
          <w:color w:val="000000"/>
          <w:sz w:val="22"/>
          <w:szCs w:val="22"/>
          <w:lang w:eastAsia="ru-RU"/>
        </w:rPr>
        <w:t>).</w:t>
      </w:r>
    </w:p>
    <w:p w:rsidR="00B006D8" w:rsidRPr="00F27AB2" w:rsidRDefault="00B006D8" w:rsidP="009721D0">
      <w:pPr>
        <w:widowControl w:val="0"/>
        <w:tabs>
          <w:tab w:val="left" w:pos="405"/>
        </w:tabs>
        <w:spacing w:line="276" w:lineRule="auto"/>
        <w:ind w:left="426" w:right="97"/>
        <w:rPr>
          <w:color w:val="000000"/>
          <w:sz w:val="22"/>
          <w:szCs w:val="22"/>
          <w:lang w:val="ru-RU" w:eastAsia="ru-RU"/>
        </w:rPr>
      </w:pPr>
    </w:p>
    <w:p w:rsidR="00B006D8" w:rsidRDefault="00B006D8" w:rsidP="00B006D8">
      <w:pPr>
        <w:widowControl w:val="0"/>
        <w:tabs>
          <w:tab w:val="left" w:pos="405"/>
        </w:tabs>
        <w:ind w:left="122" w:right="97"/>
        <w:contextualSpacing/>
        <w:jc w:val="center"/>
        <w:rPr>
          <w:rFonts w:eastAsia="Arial"/>
          <w:b/>
          <w:sz w:val="22"/>
          <w:szCs w:val="22"/>
          <w:lang w:val="ru-RU" w:eastAsia="ru-RU"/>
        </w:rPr>
      </w:pPr>
      <w:proofErr w:type="spellStart"/>
      <w:r>
        <w:rPr>
          <w:rFonts w:eastAsia="Arial"/>
          <w:b/>
          <w:sz w:val="22"/>
          <w:szCs w:val="22"/>
          <w:lang w:val="ru-RU" w:eastAsia="ru-RU"/>
        </w:rPr>
        <w:t>Перелі</w:t>
      </w:r>
      <w:proofErr w:type="gramStart"/>
      <w:r>
        <w:rPr>
          <w:rFonts w:eastAsia="Arial"/>
          <w:b/>
          <w:sz w:val="22"/>
          <w:szCs w:val="22"/>
          <w:lang w:val="ru-RU" w:eastAsia="ru-RU"/>
        </w:rPr>
        <w:t>к</w:t>
      </w:r>
      <w:proofErr w:type="spellEnd"/>
      <w:proofErr w:type="gramEnd"/>
      <w:r>
        <w:rPr>
          <w:rFonts w:eastAsia="Arial"/>
          <w:b/>
          <w:sz w:val="22"/>
          <w:szCs w:val="22"/>
          <w:lang w:val="ru-RU" w:eastAsia="ru-RU"/>
        </w:rPr>
        <w:t xml:space="preserve"> </w:t>
      </w:r>
      <w:proofErr w:type="spellStart"/>
      <w:r>
        <w:rPr>
          <w:rFonts w:eastAsia="Arial"/>
          <w:b/>
          <w:sz w:val="22"/>
          <w:szCs w:val="22"/>
          <w:lang w:val="ru-RU" w:eastAsia="ru-RU"/>
        </w:rPr>
        <w:t>документів</w:t>
      </w:r>
      <w:proofErr w:type="spellEnd"/>
      <w:r>
        <w:rPr>
          <w:rFonts w:eastAsia="Arial"/>
          <w:b/>
          <w:sz w:val="22"/>
          <w:szCs w:val="22"/>
          <w:lang w:val="ru-RU" w:eastAsia="ru-RU"/>
        </w:rPr>
        <w:t xml:space="preserve">, </w:t>
      </w:r>
      <w:proofErr w:type="spellStart"/>
      <w:r>
        <w:rPr>
          <w:rFonts w:eastAsia="Arial"/>
          <w:b/>
          <w:sz w:val="22"/>
          <w:szCs w:val="22"/>
          <w:lang w:val="ru-RU" w:eastAsia="ru-RU"/>
        </w:rPr>
        <w:t>які</w:t>
      </w:r>
      <w:proofErr w:type="spellEnd"/>
      <w:r>
        <w:rPr>
          <w:rFonts w:eastAsia="Arial"/>
          <w:b/>
          <w:sz w:val="22"/>
          <w:szCs w:val="22"/>
          <w:lang w:val="ru-RU" w:eastAsia="ru-RU"/>
        </w:rPr>
        <w:t xml:space="preserve"> </w:t>
      </w:r>
      <w:proofErr w:type="spellStart"/>
      <w:r>
        <w:rPr>
          <w:rFonts w:eastAsia="Arial"/>
          <w:b/>
          <w:sz w:val="22"/>
          <w:szCs w:val="22"/>
          <w:highlight w:val="green"/>
          <w:lang w:val="ru-RU" w:eastAsia="ru-RU"/>
        </w:rPr>
        <w:t>переможець</w:t>
      </w:r>
      <w:proofErr w:type="spellEnd"/>
      <w:r>
        <w:rPr>
          <w:rFonts w:eastAsia="Arial"/>
          <w:b/>
          <w:sz w:val="22"/>
          <w:szCs w:val="22"/>
          <w:lang w:val="ru-RU" w:eastAsia="ru-RU"/>
        </w:rPr>
        <w:t xml:space="preserve"> </w:t>
      </w:r>
      <w:proofErr w:type="spellStart"/>
      <w:r>
        <w:rPr>
          <w:rFonts w:eastAsia="Arial"/>
          <w:b/>
          <w:sz w:val="22"/>
          <w:szCs w:val="22"/>
          <w:lang w:val="ru-RU" w:eastAsia="ru-RU"/>
        </w:rPr>
        <w:t>надає</w:t>
      </w:r>
      <w:proofErr w:type="spellEnd"/>
      <w:r>
        <w:rPr>
          <w:rFonts w:eastAsia="Arial"/>
          <w:b/>
          <w:sz w:val="22"/>
          <w:szCs w:val="22"/>
          <w:lang w:val="ru-RU" w:eastAsia="ru-RU"/>
        </w:rPr>
        <w:t xml:space="preserve"> </w:t>
      </w:r>
    </w:p>
    <w:p w:rsidR="00B006D8" w:rsidRDefault="00B006D8" w:rsidP="00B006D8">
      <w:pPr>
        <w:widowControl w:val="0"/>
        <w:tabs>
          <w:tab w:val="left" w:pos="405"/>
        </w:tabs>
        <w:ind w:left="122" w:right="97"/>
        <w:contextualSpacing/>
        <w:jc w:val="center"/>
        <w:rPr>
          <w:rFonts w:eastAsia="Arial"/>
          <w:b/>
          <w:sz w:val="22"/>
          <w:szCs w:val="22"/>
          <w:lang w:val="ru-RU" w:eastAsia="ru-RU"/>
        </w:rPr>
      </w:pPr>
      <w:r>
        <w:rPr>
          <w:rFonts w:eastAsia="Arial"/>
          <w:b/>
          <w:sz w:val="22"/>
          <w:szCs w:val="22"/>
          <w:lang w:val="ru-RU" w:eastAsia="ru-RU"/>
        </w:rPr>
        <w:t xml:space="preserve">шляхом </w:t>
      </w:r>
      <w:proofErr w:type="spellStart"/>
      <w:r>
        <w:rPr>
          <w:rFonts w:eastAsia="Arial"/>
          <w:b/>
          <w:sz w:val="22"/>
          <w:szCs w:val="22"/>
          <w:lang w:val="ru-RU" w:eastAsia="ru-RU"/>
        </w:rPr>
        <w:t>оприлюднення</w:t>
      </w:r>
      <w:proofErr w:type="spellEnd"/>
      <w:r>
        <w:rPr>
          <w:rFonts w:eastAsia="Arial"/>
          <w:b/>
          <w:sz w:val="22"/>
          <w:szCs w:val="22"/>
          <w:lang w:val="ru-RU" w:eastAsia="ru-RU"/>
        </w:rPr>
        <w:t xml:space="preserve"> </w:t>
      </w:r>
      <w:proofErr w:type="spellStart"/>
      <w:r>
        <w:rPr>
          <w:rFonts w:eastAsia="Arial"/>
          <w:b/>
          <w:sz w:val="22"/>
          <w:szCs w:val="22"/>
          <w:lang w:val="ru-RU" w:eastAsia="ru-RU"/>
        </w:rPr>
        <w:t>ї</w:t>
      </w:r>
      <w:proofErr w:type="gramStart"/>
      <w:r>
        <w:rPr>
          <w:rFonts w:eastAsia="Arial"/>
          <w:b/>
          <w:sz w:val="22"/>
          <w:szCs w:val="22"/>
          <w:lang w:val="ru-RU" w:eastAsia="ru-RU"/>
        </w:rPr>
        <w:t>х</w:t>
      </w:r>
      <w:proofErr w:type="spellEnd"/>
      <w:proofErr w:type="gramEnd"/>
      <w:r>
        <w:rPr>
          <w:rFonts w:eastAsia="Arial"/>
          <w:b/>
          <w:sz w:val="22"/>
          <w:szCs w:val="22"/>
          <w:lang w:val="ru-RU" w:eastAsia="ru-RU"/>
        </w:rPr>
        <w:t xml:space="preserve"> в </w:t>
      </w:r>
      <w:proofErr w:type="spellStart"/>
      <w:r>
        <w:rPr>
          <w:rFonts w:eastAsia="Arial"/>
          <w:b/>
          <w:sz w:val="22"/>
          <w:szCs w:val="22"/>
          <w:lang w:val="ru-RU" w:eastAsia="ru-RU"/>
        </w:rPr>
        <w:t>електронній</w:t>
      </w:r>
      <w:proofErr w:type="spellEnd"/>
      <w:r>
        <w:rPr>
          <w:rFonts w:eastAsia="Arial"/>
          <w:b/>
          <w:sz w:val="22"/>
          <w:szCs w:val="22"/>
          <w:lang w:val="ru-RU" w:eastAsia="ru-RU"/>
        </w:rPr>
        <w:t xml:space="preserve"> </w:t>
      </w:r>
      <w:proofErr w:type="spellStart"/>
      <w:r>
        <w:rPr>
          <w:rFonts w:eastAsia="Arial"/>
          <w:b/>
          <w:sz w:val="22"/>
          <w:szCs w:val="22"/>
          <w:lang w:val="ru-RU" w:eastAsia="ru-RU"/>
        </w:rPr>
        <w:t>системі</w:t>
      </w:r>
      <w:proofErr w:type="spellEnd"/>
      <w:r>
        <w:rPr>
          <w:rFonts w:eastAsia="Arial"/>
          <w:b/>
          <w:sz w:val="22"/>
          <w:szCs w:val="22"/>
          <w:lang w:val="ru-RU" w:eastAsia="ru-RU"/>
        </w:rPr>
        <w:t xml:space="preserve"> </w:t>
      </w:r>
      <w:proofErr w:type="spellStart"/>
      <w:r>
        <w:rPr>
          <w:rFonts w:eastAsia="Arial"/>
          <w:b/>
          <w:sz w:val="22"/>
          <w:szCs w:val="22"/>
          <w:lang w:val="ru-RU" w:eastAsia="ru-RU"/>
        </w:rPr>
        <w:t>закупівель</w:t>
      </w:r>
      <w:proofErr w:type="spellEnd"/>
    </w:p>
    <w:p w:rsidR="00B006D8" w:rsidRDefault="00B006D8" w:rsidP="00B006D8">
      <w:pPr>
        <w:widowControl w:val="0"/>
        <w:tabs>
          <w:tab w:val="left" w:pos="405"/>
        </w:tabs>
        <w:ind w:left="122" w:right="97"/>
        <w:contextualSpacing/>
        <w:jc w:val="center"/>
        <w:rPr>
          <w:rFonts w:eastAsia="Arial"/>
          <w:sz w:val="22"/>
          <w:szCs w:val="22"/>
          <w:lang w:eastAsia="ru-RU"/>
        </w:rPr>
      </w:pPr>
    </w:p>
    <w:tbl>
      <w:tblPr>
        <w:tblW w:w="0" w:type="auto"/>
        <w:jc w:val="center"/>
        <w:tblBorders>
          <w:top w:val="single" w:sz="2" w:space="0" w:color="auto"/>
          <w:left w:val="single" w:sz="2" w:space="0" w:color="auto"/>
          <w:bottom w:val="single" w:sz="2" w:space="0" w:color="auto"/>
          <w:right w:val="single" w:sz="2" w:space="0" w:color="auto"/>
        </w:tblBorders>
        <w:tblCellMar>
          <w:left w:w="0" w:type="dxa"/>
          <w:right w:w="0" w:type="dxa"/>
        </w:tblCellMar>
        <w:tblLook w:val="00A0"/>
      </w:tblPr>
      <w:tblGrid>
        <w:gridCol w:w="3868"/>
        <w:gridCol w:w="5503"/>
      </w:tblGrid>
      <w:tr w:rsidR="00B006D8" w:rsidRPr="00B006D8" w:rsidTr="00B006D8">
        <w:trPr>
          <w:trHeight w:val="2122"/>
          <w:jc w:val="center"/>
        </w:trPr>
        <w:tc>
          <w:tcPr>
            <w:tcW w:w="3868" w:type="dxa"/>
            <w:tcBorders>
              <w:top w:val="single" w:sz="4" w:space="0" w:color="auto"/>
              <w:left w:val="single" w:sz="6" w:space="0" w:color="000000"/>
              <w:bottom w:val="single" w:sz="4" w:space="0" w:color="auto"/>
              <w:right w:val="single" w:sz="6" w:space="0" w:color="000000"/>
            </w:tcBorders>
            <w:hideMark/>
          </w:tcPr>
          <w:p w:rsidR="00B006D8" w:rsidRDefault="00B006D8">
            <w:pPr>
              <w:ind w:left="91" w:right="162"/>
            </w:pPr>
            <w:r>
              <w:rPr>
                <w:sz w:val="22"/>
                <w:szCs w:val="22"/>
              </w:rPr>
              <w:lastRenderedPageBreak/>
              <w:t>Витяг з інформаційно-аналітичної системи «Облік відомостей про притягнення особи до кримінальної відповідальності та наявності судимості», виданий службовій</w:t>
            </w:r>
          </w:p>
          <w:p w:rsidR="00B006D8" w:rsidRDefault="00B006D8">
            <w:pPr>
              <w:pStyle w:val="a6"/>
              <w:spacing w:before="0"/>
              <w:ind w:left="91" w:right="162"/>
              <w:rPr>
                <w:rFonts w:ascii="Times New Roman" w:hAnsi="Times New Roman"/>
                <w:spacing w:val="-6"/>
              </w:rPr>
            </w:pPr>
            <w:r>
              <w:rPr>
                <w:rFonts w:ascii="Times New Roman" w:eastAsia="Times New Roman" w:hAnsi="Times New Roman"/>
                <w:sz w:val="22"/>
                <w:szCs w:val="22"/>
              </w:rPr>
              <w:t xml:space="preserve">(посадовій) особі Переможця або фізичній </w:t>
            </w:r>
            <w:r>
              <w:rPr>
                <w:rFonts w:ascii="Times New Roman" w:hAnsi="Times New Roman"/>
                <w:sz w:val="22"/>
                <w:szCs w:val="22"/>
              </w:rPr>
              <w:t>Особі Переможцю, яка підписала тендерну пропозицію, не раніше ніж за 30</w:t>
            </w:r>
            <w:r>
              <w:rPr>
                <w:sz w:val="22"/>
                <w:szCs w:val="22"/>
              </w:rPr>
              <w:t xml:space="preserve"> </w:t>
            </w:r>
            <w:r>
              <w:rPr>
                <w:rFonts w:ascii="Times New Roman" w:hAnsi="Times New Roman"/>
                <w:sz w:val="22"/>
                <w:szCs w:val="22"/>
              </w:rPr>
              <w:t>календарних днів до дати подання</w:t>
            </w:r>
          </w:p>
        </w:tc>
        <w:tc>
          <w:tcPr>
            <w:tcW w:w="5503" w:type="dxa"/>
            <w:tcBorders>
              <w:top w:val="single" w:sz="4" w:space="0" w:color="auto"/>
              <w:left w:val="single" w:sz="6" w:space="0" w:color="000000"/>
              <w:bottom w:val="single" w:sz="4" w:space="0" w:color="auto"/>
              <w:right w:val="single" w:sz="6" w:space="0" w:color="000000"/>
            </w:tcBorders>
            <w:vAlign w:val="center"/>
            <w:hideMark/>
          </w:tcPr>
          <w:p w:rsidR="00B006D8" w:rsidRDefault="00B006D8">
            <w:pPr>
              <w:ind w:left="142" w:right="97"/>
              <w:contextualSpacing/>
              <w:rPr>
                <w:spacing w:val="-6"/>
              </w:rPr>
            </w:pPr>
            <w:r>
              <w:rPr>
                <w:spacing w:val="-6"/>
                <w:sz w:val="22"/>
                <w:szCs w:val="22"/>
              </w:rPr>
              <w:t xml:space="preserve">Витяг з інформаційно-аналітичної системи «Облік відомостей про притягнення особи до кримінальної відповідальності та наявності судимості», виданий службовій (посадовій) особі Переможця, яка підписала тендерну пропозицію, (скорочений або повний) у паперовій або електронній формі, що сформований програмним забезпеченням (за допомогою електронного сервісу </w:t>
            </w:r>
            <w:proofErr w:type="spellStart"/>
            <w:r>
              <w:rPr>
                <w:spacing w:val="-6"/>
                <w:sz w:val="22"/>
                <w:szCs w:val="22"/>
              </w:rPr>
              <w:t>vytiah.mvs.gov.ua</w:t>
            </w:r>
            <w:proofErr w:type="spellEnd"/>
            <w:r>
              <w:rPr>
                <w:spacing w:val="-6"/>
                <w:sz w:val="22"/>
                <w:szCs w:val="22"/>
              </w:rPr>
              <w:t xml:space="preserve"> або засобами Порталу Дія).</w:t>
            </w:r>
          </w:p>
        </w:tc>
      </w:tr>
      <w:tr w:rsidR="00B006D8" w:rsidTr="00B006D8">
        <w:trPr>
          <w:trHeight w:val="20"/>
          <w:jc w:val="center"/>
        </w:trPr>
        <w:tc>
          <w:tcPr>
            <w:tcW w:w="3868" w:type="dxa"/>
            <w:tcBorders>
              <w:top w:val="single" w:sz="4" w:space="0" w:color="auto"/>
              <w:left w:val="single" w:sz="6" w:space="0" w:color="000000"/>
              <w:bottom w:val="single" w:sz="4" w:space="0" w:color="auto"/>
              <w:right w:val="single" w:sz="6" w:space="0" w:color="000000"/>
            </w:tcBorders>
          </w:tcPr>
          <w:p w:rsidR="00B006D8" w:rsidRDefault="00B006D8">
            <w:pPr>
              <w:ind w:left="91" w:right="162"/>
              <w:rPr>
                <w:spacing w:val="-6"/>
              </w:rPr>
            </w:pPr>
            <w:r>
              <w:rPr>
                <w:spacing w:val="-6"/>
                <w:sz w:val="22"/>
                <w:szCs w:val="22"/>
              </w:rPr>
              <w:t>Довідка про відсутність в учасника процедури закупівлі заборгованості зі сплати податків чи зборів (обов’язкових платежів), передбачених законодавством України, видана відповідним підрозділом Державної фіскальної служби. Довідка має бути дійсною на дату її надання учасником</w:t>
            </w:r>
          </w:p>
          <w:p w:rsidR="00B006D8" w:rsidRDefault="00B006D8">
            <w:pPr>
              <w:ind w:left="91" w:firstLine="193"/>
              <w:rPr>
                <w:spacing w:val="-6"/>
              </w:rPr>
            </w:pPr>
          </w:p>
        </w:tc>
        <w:tc>
          <w:tcPr>
            <w:tcW w:w="5503" w:type="dxa"/>
            <w:tcBorders>
              <w:top w:val="single" w:sz="4" w:space="0" w:color="auto"/>
              <w:left w:val="single" w:sz="6" w:space="0" w:color="000000"/>
              <w:bottom w:val="single" w:sz="4" w:space="0" w:color="auto"/>
              <w:right w:val="single" w:sz="6" w:space="0" w:color="000000"/>
            </w:tcBorders>
            <w:vAlign w:val="center"/>
            <w:hideMark/>
          </w:tcPr>
          <w:p w:rsidR="00B006D8" w:rsidRDefault="00B006D8">
            <w:pPr>
              <w:ind w:left="122" w:right="78"/>
              <w:rPr>
                <w:color w:val="000000"/>
                <w:shd w:val="clear" w:color="auto" w:fill="FFFFFF"/>
              </w:rPr>
            </w:pPr>
            <w:r>
              <w:rPr>
                <w:spacing w:val="-6"/>
                <w:sz w:val="22"/>
                <w:szCs w:val="22"/>
              </w:rPr>
              <w:t xml:space="preserve">Довідка надається у вигляді </w:t>
            </w:r>
            <w:proofErr w:type="spellStart"/>
            <w:r>
              <w:rPr>
                <w:spacing w:val="-6"/>
                <w:sz w:val="22"/>
                <w:szCs w:val="22"/>
              </w:rPr>
              <w:t>сканкопії</w:t>
            </w:r>
            <w:proofErr w:type="spellEnd"/>
            <w:r>
              <w:rPr>
                <w:spacing w:val="-6"/>
                <w:sz w:val="22"/>
                <w:szCs w:val="22"/>
              </w:rPr>
              <w:t xml:space="preserve"> паперової довідки або </w:t>
            </w:r>
            <w:proofErr w:type="spellStart"/>
            <w:r>
              <w:rPr>
                <w:spacing w:val="-6"/>
                <w:sz w:val="22"/>
                <w:szCs w:val="22"/>
              </w:rPr>
              <w:t>сканкопії</w:t>
            </w:r>
            <w:proofErr w:type="spellEnd"/>
            <w:r>
              <w:rPr>
                <w:spacing w:val="-6"/>
                <w:sz w:val="22"/>
                <w:szCs w:val="22"/>
              </w:rPr>
              <w:t xml:space="preserve"> нотаріально завіреної довідки або у вигляді електронного документа із накладеним </w:t>
            </w:r>
            <w:proofErr w:type="spellStart"/>
            <w:r>
              <w:rPr>
                <w:spacing w:val="-6"/>
                <w:sz w:val="22"/>
                <w:szCs w:val="22"/>
              </w:rPr>
              <w:t>ЕП</w:t>
            </w:r>
            <w:proofErr w:type="spellEnd"/>
            <w:r>
              <w:rPr>
                <w:spacing w:val="-6"/>
                <w:sz w:val="22"/>
                <w:szCs w:val="22"/>
              </w:rPr>
              <w:t xml:space="preserve"> відповідно до Закону України «Про електронні документи та електронний документообіг» та Закону України «Про електронні довірчі послуги» особи, яка уповноважена на підписання такої довідки. Якщо в учасника процедури закупівлі є заборгованість зі сплати податків чи зборів (обов’язкових платежів), учасник процедури закупівлі одночасно з наданням довідки про наявність такої </w:t>
            </w:r>
            <w:r>
              <w:rPr>
                <w:color w:val="000000"/>
                <w:sz w:val="22"/>
                <w:szCs w:val="22"/>
                <w:shd w:val="clear" w:color="auto" w:fill="FFFFFF"/>
              </w:rPr>
              <w:t>заборгованості надає документальне підтвердження розстрочення і відстрочення заборгованості у порядку та на умовах, визначених законодавством країни реєстрації Учасника (надається підтвердження прийняття відповідного рішення органу доходів і зборів та укладення договору про розстрочення (відстрочення) відповідно до Наказу Міністерства доходів і зборів України від 10.10.2013 №574). Не надання такого документального підтвердження розстрочення і відстрочення заборгованості свідчить про наявність підстав для відмови учаснику в участі у процедурі закупівлі.</w:t>
            </w:r>
          </w:p>
        </w:tc>
      </w:tr>
      <w:tr w:rsidR="00B006D8" w:rsidRPr="00B006D8" w:rsidTr="00B006D8">
        <w:trPr>
          <w:trHeight w:val="20"/>
          <w:jc w:val="center"/>
        </w:trPr>
        <w:tc>
          <w:tcPr>
            <w:tcW w:w="3868" w:type="dxa"/>
            <w:tcBorders>
              <w:top w:val="single" w:sz="4" w:space="0" w:color="auto"/>
              <w:left w:val="single" w:sz="6" w:space="0" w:color="000000"/>
              <w:bottom w:val="single" w:sz="4" w:space="0" w:color="auto"/>
              <w:right w:val="single" w:sz="6" w:space="0" w:color="000000"/>
            </w:tcBorders>
          </w:tcPr>
          <w:p w:rsidR="00B006D8" w:rsidRDefault="00B006D8">
            <w:pPr>
              <w:ind w:left="91" w:right="162"/>
              <w:rPr>
                <w:spacing w:val="-6"/>
              </w:rPr>
            </w:pPr>
            <w:r>
              <w:rPr>
                <w:spacing w:val="-6"/>
                <w:sz w:val="22"/>
                <w:szCs w:val="22"/>
              </w:rPr>
              <w:t>Тендерна пропозиція (цінова) за результатами аукціону за</w:t>
            </w:r>
          </w:p>
          <w:p w:rsidR="00B006D8" w:rsidRDefault="00B006D8">
            <w:pPr>
              <w:ind w:left="91" w:right="162"/>
              <w:rPr>
                <w:spacing w:val="-6"/>
              </w:rPr>
            </w:pPr>
            <w:r>
              <w:rPr>
                <w:spacing w:val="-6"/>
                <w:sz w:val="22"/>
                <w:szCs w:val="22"/>
              </w:rPr>
              <w:t>формою Додатку 1 «Тендерна</w:t>
            </w:r>
          </w:p>
          <w:p w:rsidR="00B006D8" w:rsidRDefault="00B006D8">
            <w:pPr>
              <w:ind w:left="91" w:right="162"/>
              <w:rPr>
                <w:spacing w:val="-6"/>
              </w:rPr>
            </w:pPr>
            <w:r>
              <w:rPr>
                <w:spacing w:val="-6"/>
                <w:sz w:val="22"/>
                <w:szCs w:val="22"/>
              </w:rPr>
              <w:t>пропозиція (цінова)» до цієї</w:t>
            </w:r>
          </w:p>
          <w:p w:rsidR="00B006D8" w:rsidRDefault="00B006D8">
            <w:pPr>
              <w:ind w:left="91" w:right="162"/>
              <w:rPr>
                <w:spacing w:val="-6"/>
              </w:rPr>
            </w:pPr>
            <w:r>
              <w:rPr>
                <w:spacing w:val="-6"/>
                <w:sz w:val="22"/>
                <w:szCs w:val="22"/>
              </w:rPr>
              <w:t>тендерної документації</w:t>
            </w:r>
          </w:p>
          <w:p w:rsidR="00B006D8" w:rsidRDefault="00B006D8">
            <w:pPr>
              <w:ind w:left="91" w:right="162"/>
              <w:rPr>
                <w:spacing w:val="-6"/>
              </w:rPr>
            </w:pPr>
          </w:p>
        </w:tc>
        <w:tc>
          <w:tcPr>
            <w:tcW w:w="5503" w:type="dxa"/>
            <w:tcBorders>
              <w:top w:val="single" w:sz="4" w:space="0" w:color="auto"/>
              <w:left w:val="single" w:sz="6" w:space="0" w:color="000000"/>
              <w:bottom w:val="single" w:sz="4" w:space="0" w:color="auto"/>
              <w:right w:val="single" w:sz="6" w:space="0" w:color="000000"/>
            </w:tcBorders>
            <w:vAlign w:val="center"/>
            <w:hideMark/>
          </w:tcPr>
          <w:p w:rsidR="00B006D8" w:rsidRDefault="00B006D8">
            <w:pPr>
              <w:ind w:left="122" w:right="78"/>
              <w:rPr>
                <w:spacing w:val="-6"/>
              </w:rPr>
            </w:pPr>
            <w:r>
              <w:rPr>
                <w:spacing w:val="-6"/>
                <w:sz w:val="22"/>
                <w:szCs w:val="22"/>
              </w:rPr>
              <w:t>Тендерна пропозиція (цінова) за результатами аукціону за формою Додатку 1 «Тендерна пропозиція (цінова)» до цієї тендерної документації надається переможцем протягом 5 робочих днів з дня оприлюднення рішення Замовника про визначення переможця,</w:t>
            </w:r>
            <w:r>
              <w:rPr>
                <w:bCs/>
                <w:spacing w:val="-6"/>
                <w:sz w:val="22"/>
                <w:szCs w:val="22"/>
              </w:rPr>
              <w:t xml:space="preserve"> в разі якщо за результатами аукціону учасник змінював ціну</w:t>
            </w:r>
            <w:r>
              <w:rPr>
                <w:spacing w:val="-6"/>
                <w:sz w:val="22"/>
                <w:szCs w:val="22"/>
              </w:rPr>
              <w:t>.</w:t>
            </w:r>
          </w:p>
        </w:tc>
      </w:tr>
    </w:tbl>
    <w:p w:rsidR="00AA1994" w:rsidRPr="004F4849" w:rsidRDefault="00AA1994" w:rsidP="009721D0">
      <w:pPr>
        <w:ind w:left="284" w:right="97" w:firstLine="796"/>
        <w:contextualSpacing/>
        <w:rPr>
          <w:color w:val="000000"/>
          <w:sz w:val="22"/>
          <w:szCs w:val="22"/>
          <w:lang w:eastAsia="ru-RU"/>
        </w:rPr>
      </w:pPr>
    </w:p>
    <w:sectPr w:rsidR="00AA1994" w:rsidRPr="004F4849" w:rsidSect="00D35F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B6658"/>
    <w:multiLevelType w:val="hybridMultilevel"/>
    <w:tmpl w:val="82743D46"/>
    <w:lvl w:ilvl="0" w:tplc="04190001">
      <w:start w:val="1"/>
      <w:numFmt w:val="bullet"/>
      <w:lvlText w:val=""/>
      <w:lvlJc w:val="left"/>
      <w:pPr>
        <w:ind w:left="720" w:hanging="360"/>
      </w:pPr>
      <w:rPr>
        <w:rFonts w:ascii="Symbol" w:hAnsi="Symbol" w:hint="default"/>
      </w:rPr>
    </w:lvl>
    <w:lvl w:ilvl="1" w:tplc="FEF006E0">
      <w:numFmt w:val="bullet"/>
      <w:lvlText w:val="-"/>
      <w:lvlJc w:val="left"/>
      <w:pPr>
        <w:ind w:left="1440" w:hanging="360"/>
      </w:pPr>
      <w:rPr>
        <w:rFonts w:ascii="Times New Roman" w:eastAsia="Times New Roman" w:hAnsi="Times New Roman" w:cs="Times New Roman"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901F8E"/>
    <w:multiLevelType w:val="hybridMultilevel"/>
    <w:tmpl w:val="9FB6A6FC"/>
    <w:lvl w:ilvl="0" w:tplc="19CE474A">
      <w:numFmt w:val="bullet"/>
      <w:lvlText w:val="-"/>
      <w:lvlJc w:val="left"/>
      <w:pPr>
        <w:ind w:left="1060" w:hanging="360"/>
      </w:pPr>
      <w:rPr>
        <w:rFonts w:ascii="Calibri" w:eastAsia="Times New Roman" w:hAnsi="Calibri"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
    <w:nsid w:val="3DAF1841"/>
    <w:multiLevelType w:val="hybridMultilevel"/>
    <w:tmpl w:val="6AB0763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A327B"/>
    <w:rsid w:val="001A1455"/>
    <w:rsid w:val="002D363C"/>
    <w:rsid w:val="002E4CC8"/>
    <w:rsid w:val="003875E7"/>
    <w:rsid w:val="00795580"/>
    <w:rsid w:val="007A327B"/>
    <w:rsid w:val="009721D0"/>
    <w:rsid w:val="00AA1994"/>
    <w:rsid w:val="00B006D8"/>
    <w:rsid w:val="00B35376"/>
    <w:rsid w:val="00B41EF2"/>
    <w:rsid w:val="00D35FB3"/>
    <w:rsid w:val="00F27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27B"/>
    <w:pPr>
      <w:spacing w:after="0" w:line="240" w:lineRule="auto"/>
      <w:jc w:val="both"/>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у 1,тв-Абзац списка,название табл/рис,заголовок 1.1,List Paragraph (numbered (a)),List_Paragraph,Multilevel para_II,List Paragraph1,List Paragraph-ExecSummary,Akapit z listą BS,Bullets,List Paragraph 1,References,Абзац списку"/>
    <w:basedOn w:val="a"/>
    <w:link w:val="a4"/>
    <w:uiPriority w:val="99"/>
    <w:qFormat/>
    <w:rsid w:val="00AA1994"/>
    <w:pPr>
      <w:ind w:left="720"/>
      <w:contextualSpacing/>
    </w:pPr>
  </w:style>
  <w:style w:type="character" w:customStyle="1" w:styleId="a4">
    <w:name w:val="Абзац списка Знак"/>
    <w:aliases w:val="Абзац списку 1 Знак,тв-Абзац списка Знак,название табл/рис Знак,заголовок 1.1 Знак,List Paragraph (numbered (a)) Знак,List_Paragraph Знак,Multilevel para_II Знак,List Paragraph1 Знак,List Paragraph-ExecSummary Знак,Bullets Знак"/>
    <w:link w:val="a3"/>
    <w:uiPriority w:val="99"/>
    <w:locked/>
    <w:rsid w:val="003875E7"/>
    <w:rPr>
      <w:rFonts w:ascii="Times New Roman" w:eastAsia="Times New Roman" w:hAnsi="Times New Roman" w:cs="Times New Roman"/>
      <w:sz w:val="24"/>
      <w:szCs w:val="24"/>
      <w:lang w:val="uk-UA" w:eastAsia="uk-UA"/>
    </w:rPr>
  </w:style>
  <w:style w:type="character" w:customStyle="1" w:styleId="a5">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6"/>
    <w:locked/>
    <w:rsid w:val="00B006D8"/>
    <w:rPr>
      <w:sz w:val="24"/>
      <w:szCs w:val="24"/>
      <w:lang w:val="uk-UA" w:eastAsia="uk-UA"/>
    </w:rPr>
  </w:style>
  <w:style w:type="paragraph" w:styleId="a6">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5"/>
    <w:unhideWhenUsed/>
    <w:qFormat/>
    <w:rsid w:val="00B006D8"/>
    <w:pPr>
      <w:widowControl w:val="0"/>
      <w:suppressAutoHyphens/>
      <w:spacing w:before="150"/>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112276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814</Words>
  <Characters>4641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ПАО "Сумыхмпром"</Company>
  <LinksUpToDate>false</LinksUpToDate>
  <CharactersWithSpaces>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l.yo.sumera</dc:creator>
  <cp:lastModifiedBy>m.v.kuzova</cp:lastModifiedBy>
  <cp:revision>7</cp:revision>
  <dcterms:created xsi:type="dcterms:W3CDTF">2024-09-23T12:41:00Z</dcterms:created>
  <dcterms:modified xsi:type="dcterms:W3CDTF">2024-10-10T09:13:00Z</dcterms:modified>
</cp:coreProperties>
</file>